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C33F" w14:textId="77777777" w:rsidR="005136FC" w:rsidRPr="00B45389" w:rsidRDefault="005136FC" w:rsidP="005136FC">
      <w:pPr>
        <w:ind w:left="1530" w:right="1440"/>
        <w:rPr>
          <w:rFonts w:ascii="Myriad Pro" w:hAnsi="Myriad Pro"/>
          <w:b/>
          <w:sz w:val="20"/>
          <w:szCs w:val="20"/>
          <w:lang w:val="es-ES_tradnl"/>
        </w:rPr>
      </w:pPr>
      <w:r w:rsidRPr="00B45389">
        <w:rPr>
          <w:rFonts w:ascii="Myriad Pro" w:hAnsi="Myriad Pro"/>
          <w:b/>
          <w:sz w:val="20"/>
          <w:szCs w:val="20"/>
          <w:lang w:val="es-ES_tradnl"/>
        </w:rPr>
        <w:t>PARTE 1 - GENERAL</w:t>
      </w:r>
    </w:p>
    <w:p w14:paraId="0A7314E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7BF6245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1.01  RESUMEN</w:t>
      </w:r>
    </w:p>
    <w:p w14:paraId="2CDD9E9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Lámina de impresión digital para la protección y decoración de paredes</w:t>
      </w:r>
    </w:p>
    <w:p w14:paraId="4D1AA1B6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11BA9132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1.02  LA SECCIÓN INCLUYE</w:t>
      </w:r>
    </w:p>
    <w:p w14:paraId="3D60E8F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</w:t>
      </w:r>
    </w:p>
    <w:p w14:paraId="49D6B967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4D93848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1.03  REFERENCIAS</w:t>
      </w:r>
    </w:p>
    <w:p w14:paraId="2F50F0C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Sociedad Americana para Pruebas y Materiales (ASTM, por sus siglas en inglés)</w:t>
      </w:r>
      <w:bookmarkStart w:id="0" w:name="_GoBack"/>
      <w:bookmarkEnd w:id="0"/>
    </w:p>
    <w:p w14:paraId="4F322782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B. Asociación Nacional de Protección de Incendios (NFPA, por sus siglas en inglés)</w:t>
      </w:r>
    </w:p>
    <w:p w14:paraId="522293E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13919B94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1.04  DESCRIPCIÓN DEL SISTEMA</w:t>
      </w:r>
    </w:p>
    <w:p w14:paraId="540A443F" w14:textId="2882D06A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Requisitos de Desempeño: Proveer sistemas de letreros que cumplan con los siguientes requisitos de las agencias reguladoras y del control de calidad de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</w:t>
      </w:r>
      <w:proofErr w:type="spellStart"/>
      <w:r w:rsidR="00BC6C88">
        <w:rPr>
          <w:rFonts w:ascii="Myriad Pro" w:hAnsi="Myriad Pro"/>
          <w:sz w:val="20"/>
          <w:szCs w:val="20"/>
          <w:lang w:val="es-ES_tradnl"/>
        </w:rPr>
        <w:t>Corporation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.</w:t>
      </w:r>
    </w:p>
    <w:p w14:paraId="28E909A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 Característi</w:t>
      </w:r>
      <w:r w:rsidR="00B45389">
        <w:rPr>
          <w:rFonts w:ascii="Myriad Pro" w:hAnsi="Myriad Pro"/>
          <w:sz w:val="20"/>
          <w:szCs w:val="20"/>
          <w:lang w:val="es-ES_tradnl"/>
        </w:rPr>
        <w:t>cas contra incendios: Proveer una</w:t>
      </w:r>
      <w:r w:rsidRPr="00B45389">
        <w:rPr>
          <w:rFonts w:ascii="Myriad Pro" w:hAnsi="Myriad Pro"/>
          <w:sz w:val="20"/>
          <w:szCs w:val="20"/>
          <w:lang w:val="es-ES_tradnl"/>
        </w:rPr>
        <w:t xml:space="preserve">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™ en conformidad con la norma de incendios Clase A de la NFPA. Las características de la superficie resistente a las llamas, como se indica en el estándar ASTM E-84, de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™ instalada con el adhesivo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Bond debe ser de una expansión de llamas máxima de 25 y creación de humo de 450.</w:t>
      </w:r>
    </w:p>
    <w:p w14:paraId="0F24A45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2. Resistencia </w:t>
      </w:r>
      <w:r w:rsidR="00B45389">
        <w:rPr>
          <w:rFonts w:ascii="Myriad Pro" w:hAnsi="Myriad Pro"/>
          <w:sz w:val="20"/>
          <w:szCs w:val="20"/>
          <w:lang w:val="es-ES_tradnl"/>
        </w:rPr>
        <w:t>a Químicos y Manchas: Proveer una</w:t>
      </w:r>
      <w:r w:rsidRPr="00B45389">
        <w:rPr>
          <w:rFonts w:ascii="Myriad Pro" w:hAnsi="Myriad Pro"/>
          <w:sz w:val="20"/>
          <w:szCs w:val="20"/>
          <w:lang w:val="es-ES_tradnl"/>
        </w:rPr>
        <w:t xml:space="preserve">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 que muestre resistencia a las manchas según pruebas en conformidad con las disposiciones aplicables del reglamento ASTM D-543.</w:t>
      </w:r>
    </w:p>
    <w:p w14:paraId="0BC242F4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 Re</w:t>
      </w:r>
      <w:r w:rsidR="00B45389">
        <w:rPr>
          <w:rFonts w:ascii="Myriad Pro" w:hAnsi="Myriad Pro"/>
          <w:sz w:val="20"/>
          <w:szCs w:val="20"/>
          <w:lang w:val="es-ES_tradnl"/>
        </w:rPr>
        <w:t>sistencia al Grafiti: Proveer una</w:t>
      </w:r>
      <w:r w:rsidRPr="00B45389">
        <w:rPr>
          <w:rFonts w:ascii="Myriad Pro" w:hAnsi="Myriad Pro"/>
          <w:sz w:val="20"/>
          <w:szCs w:val="20"/>
          <w:lang w:val="es-ES_tradnl"/>
        </w:rPr>
        <w:t xml:space="preserve">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 que muestre resistencia a agentes colorantes según pruebas en conformidad con las disposiciones aplicables del reglamento ASTM D6578.</w:t>
      </w:r>
    </w:p>
    <w:p w14:paraId="368F42D6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4. Resistencia a los hongos y a las bacterias: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 no da lugar al crecimiento de hongos o bacterias de acuerdo a pruebas bajo los reglamentos ASTM G-21 y ASTM G-22.</w:t>
      </w:r>
    </w:p>
    <w:p w14:paraId="3103EE6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5. Cert</w:t>
      </w:r>
      <w:r w:rsidR="00B45389">
        <w:rPr>
          <w:rFonts w:ascii="Myriad Pro" w:hAnsi="Myriad Pro"/>
          <w:sz w:val="20"/>
          <w:szCs w:val="20"/>
          <w:lang w:val="es-ES_tradnl"/>
        </w:rPr>
        <w:t>ificación GREENGUARD: Proveer una</w:t>
      </w:r>
      <w:r w:rsidRPr="00B45389">
        <w:rPr>
          <w:rFonts w:ascii="Myriad Pro" w:hAnsi="Myriad Pro"/>
          <w:sz w:val="20"/>
          <w:szCs w:val="20"/>
          <w:lang w:val="es-ES_tradnl"/>
        </w:rPr>
        <w:t xml:space="preserve">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 certificada por GREENGUARD. El material deberá cumplir con los requisitos de las Normas de Certificación GREENGUARD para Productos de Baja Emisión y el Estándar de Emisión de Productos GREENGUARD para niños y escuelas.</w:t>
      </w:r>
    </w:p>
    <w:p w14:paraId="7EDE878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6. Resis</w:t>
      </w:r>
      <w:r w:rsidR="00B45389">
        <w:rPr>
          <w:rFonts w:ascii="Myriad Pro" w:hAnsi="Myriad Pro"/>
          <w:sz w:val="20"/>
          <w:szCs w:val="20"/>
          <w:lang w:val="es-ES_tradnl"/>
        </w:rPr>
        <w:t>tencia a la Abrasión: Proveer una</w:t>
      </w:r>
      <w:r w:rsidRPr="00B45389">
        <w:rPr>
          <w:rFonts w:ascii="Myriad Pro" w:hAnsi="Myriad Pro"/>
          <w:sz w:val="20"/>
          <w:szCs w:val="20"/>
          <w:lang w:val="es-ES_tradnl"/>
        </w:rPr>
        <w:t xml:space="preserve">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 que muestre resistencia a la abrasión según pruebas en conformidad con las disposiciones aplicables del reglamento ASTM D4060.</w:t>
      </w:r>
    </w:p>
    <w:p w14:paraId="3A029EF6" w14:textId="77777777" w:rsidR="005136FC" w:rsidRPr="00B45389" w:rsidRDefault="00B45389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>
        <w:rPr>
          <w:rFonts w:ascii="Myriad Pro" w:hAnsi="Myriad Pro"/>
          <w:sz w:val="20"/>
          <w:szCs w:val="20"/>
          <w:lang w:val="es-ES_tradnl"/>
        </w:rPr>
        <w:t>7. Resistencia a</w:t>
      </w:r>
      <w:r w:rsidR="005136FC" w:rsidRPr="00B45389">
        <w:rPr>
          <w:rFonts w:ascii="Myriad Pro" w:hAnsi="Myriad Pro"/>
          <w:sz w:val="20"/>
          <w:szCs w:val="20"/>
          <w:lang w:val="es-ES_tradnl"/>
        </w:rPr>
        <w:t xml:space="preserve"> Impacto</w:t>
      </w:r>
      <w:r>
        <w:rPr>
          <w:rFonts w:ascii="Myriad Pro" w:hAnsi="Myriad Pro"/>
          <w:sz w:val="20"/>
          <w:szCs w:val="20"/>
          <w:lang w:val="es-ES_tradnl"/>
        </w:rPr>
        <w:t>s</w:t>
      </w:r>
      <w:r w:rsidR="005136FC" w:rsidRPr="00B45389">
        <w:rPr>
          <w:rFonts w:ascii="Myriad Pro" w:hAnsi="Myriad Pro"/>
          <w:sz w:val="20"/>
          <w:szCs w:val="20"/>
          <w:lang w:val="es-ES_tradnl"/>
        </w:rPr>
        <w:t xml:space="preserve">: Proveer una Protección de Paredes </w:t>
      </w:r>
      <w:proofErr w:type="spellStart"/>
      <w:r w:rsidR="005136FC"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="005136FC" w:rsidRPr="00B45389">
        <w:rPr>
          <w:rFonts w:ascii="Myriad Pro" w:hAnsi="Myriad Pro"/>
          <w:sz w:val="20"/>
          <w:szCs w:val="20"/>
          <w:lang w:val="es-ES_tradnl"/>
        </w:rPr>
        <w:t>™ que resista a imp</w:t>
      </w:r>
      <w:r>
        <w:rPr>
          <w:rFonts w:ascii="Myriad Pro" w:hAnsi="Myriad Pro"/>
          <w:sz w:val="20"/>
          <w:szCs w:val="20"/>
          <w:lang w:val="es-ES_tradnl"/>
        </w:rPr>
        <w:t>actos de 66.13 pies-</w:t>
      </w:r>
      <w:proofErr w:type="spellStart"/>
      <w:r>
        <w:rPr>
          <w:rFonts w:ascii="Myriad Pro" w:hAnsi="Myriad Pro"/>
          <w:sz w:val="20"/>
          <w:szCs w:val="20"/>
          <w:lang w:val="es-ES_tradnl"/>
        </w:rPr>
        <w:t>lbs</w:t>
      </w:r>
      <w:proofErr w:type="spellEnd"/>
      <w:r>
        <w:rPr>
          <w:rFonts w:ascii="Myriad Pro" w:hAnsi="Myriad Pro"/>
          <w:sz w:val="20"/>
          <w:szCs w:val="20"/>
          <w:lang w:val="es-ES_tradnl"/>
        </w:rPr>
        <w:t xml:space="preserve"> en el que se produzca una hendidura</w:t>
      </w:r>
      <w:r w:rsidR="005136FC" w:rsidRPr="00B45389">
        <w:rPr>
          <w:rFonts w:ascii="Myriad Pro" w:hAnsi="Myriad Pro"/>
          <w:sz w:val="20"/>
          <w:szCs w:val="20"/>
          <w:lang w:val="es-ES_tradnl"/>
        </w:rPr>
        <w:t xml:space="preserve"> de menos de  3/8” según pruebas en conformidad con las disposiciones aplicables de la Prueba de Impactos del reglamento ASTM F 476-84.</w:t>
      </w:r>
    </w:p>
    <w:p w14:paraId="11991784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3927D5C1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1.05  DOCUMENTOS</w:t>
      </w:r>
    </w:p>
    <w:p w14:paraId="48402CC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Información del Producto: Información impresa del producto provista por el fabricante para cada tipo</w:t>
      </w:r>
      <w:r w:rsidR="00B45389">
        <w:rPr>
          <w:rFonts w:ascii="Myriad Pro" w:hAnsi="Myriad Pro"/>
          <w:sz w:val="20"/>
          <w:szCs w:val="20"/>
          <w:lang w:val="es-ES_tradnl"/>
        </w:rPr>
        <w:t xml:space="preserve"> especificado</w:t>
      </w:r>
      <w:r w:rsidRPr="00B45389">
        <w:rPr>
          <w:rFonts w:ascii="Myriad Pro" w:hAnsi="Myriad Pro"/>
          <w:sz w:val="20"/>
          <w:szCs w:val="20"/>
          <w:lang w:val="es-ES_tradnl"/>
        </w:rPr>
        <w:t xml:space="preserve"> de Protección</w:t>
      </w:r>
      <w:r w:rsidR="00B45389">
        <w:rPr>
          <w:rFonts w:ascii="Myriad Pro" w:hAnsi="Myriad Pro"/>
          <w:sz w:val="20"/>
          <w:szCs w:val="20"/>
          <w:lang w:val="es-ES_tradnl"/>
        </w:rPr>
        <w:t xml:space="preserve"> de Paredes </w:t>
      </w:r>
      <w:proofErr w:type="spellStart"/>
      <w:r w:rsid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="00B45389">
        <w:rPr>
          <w:rFonts w:ascii="Myriad Pro" w:hAnsi="Myriad Pro"/>
          <w:sz w:val="20"/>
          <w:szCs w:val="20"/>
          <w:lang w:val="es-ES_tradnl"/>
        </w:rPr>
        <w:t>™.</w:t>
      </w:r>
    </w:p>
    <w:p w14:paraId="6103663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B. Dibujos Detallados: Detalles del montaje utilizando los adhesivos apropiados para los sustratos específicos del proyecto.</w:t>
      </w:r>
    </w:p>
    <w:p w14:paraId="5A7589E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C. Muestras: Muestras de verificación de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™, en cuadros de 8" (203mm), de cada tipo y color indicados.</w:t>
      </w:r>
    </w:p>
    <w:p w14:paraId="6A390E2E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D. Instrucciones de Instalación del Fabricante: Instrucciones de instalación impresas para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™.</w:t>
      </w:r>
    </w:p>
    <w:p w14:paraId="29E1E6AF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5A5B979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1.06  ENTREGA, ALMACENAJE Y MANEJO</w:t>
      </w:r>
    </w:p>
    <w:p w14:paraId="06D3A22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Entregar los materiales en la obra en sus empaques sellados de fábrica.</w:t>
      </w:r>
    </w:p>
    <w:p w14:paraId="7FFF5B6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lastRenderedPageBreak/>
        <w:t>B. Inspeccionar los materiales a su llegada al lugar para asegurar que los productos especificados hayan sido recibidos.</w:t>
      </w:r>
    </w:p>
    <w:p w14:paraId="0263281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C. Almacenar en sus empaques originales en un lugar climatizado alejados de la luz solar directa.</w:t>
      </w:r>
    </w:p>
    <w:p w14:paraId="310686FA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6274DF44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1.07  CONDICIONES DEL PROYECTO</w:t>
      </w:r>
    </w:p>
    <w:p w14:paraId="38A61842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Requisitos Medioambientales: Los productos deben ser instalados en un área interior climatizada.</w:t>
      </w:r>
    </w:p>
    <w:p w14:paraId="56FD6CA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533EF46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1.08  GARANTÍA</w:t>
      </w:r>
    </w:p>
    <w:p w14:paraId="3131E45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Garantía limitada estándar de por vida de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contra defectos de fabricación y del material.</w:t>
      </w:r>
    </w:p>
    <w:p w14:paraId="621097F1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31A1F24F" w14:textId="77777777" w:rsidR="005136FC" w:rsidRPr="00B45389" w:rsidRDefault="005136FC" w:rsidP="005136FC">
      <w:pPr>
        <w:ind w:left="1530" w:right="1440"/>
        <w:rPr>
          <w:rFonts w:ascii="Myriad Pro" w:hAnsi="Myriad Pro"/>
          <w:b/>
          <w:sz w:val="20"/>
          <w:szCs w:val="20"/>
          <w:lang w:val="es-ES_tradnl"/>
        </w:rPr>
      </w:pPr>
      <w:r w:rsidRPr="00B45389">
        <w:rPr>
          <w:rFonts w:ascii="Myriad Pro" w:hAnsi="Myriad Pro"/>
          <w:b/>
          <w:sz w:val="20"/>
          <w:szCs w:val="20"/>
          <w:lang w:val="es-ES_tradnl"/>
        </w:rPr>
        <w:t>PARTE 2 - PRODUCTOS</w:t>
      </w:r>
    </w:p>
    <w:p w14:paraId="2CD9A0E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33FEC6D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2.01 FABRICANTE</w:t>
      </w:r>
    </w:p>
    <w:p w14:paraId="501DEDEE" w14:textId="77777777" w:rsidR="005136FC" w:rsidRPr="00B45389" w:rsidRDefault="005136FC" w:rsidP="00B45389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Fabricante Autorizado: IPC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Door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and Wall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Protection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Systems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™,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Corporation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, PO Box 406, Muskego, WI 53150, EE.UU</w:t>
      </w:r>
      <w:r w:rsidR="00B45389">
        <w:rPr>
          <w:rFonts w:ascii="Myriad Pro" w:hAnsi="Myriad Pro"/>
          <w:sz w:val="20"/>
          <w:szCs w:val="20"/>
          <w:lang w:val="es-ES_tradnl"/>
        </w:rPr>
        <w:t>.</w:t>
      </w:r>
      <w:r w:rsidRPr="00B45389">
        <w:rPr>
          <w:rFonts w:ascii="Myriad Pro" w:hAnsi="Myriad Pro"/>
          <w:sz w:val="20"/>
          <w:szCs w:val="20"/>
          <w:lang w:val="es-ES_tradnl"/>
        </w:rPr>
        <w:t>; Teléfono: 800.222.5556, Fax: 888.715.8407, www.inprocorp.com</w:t>
      </w:r>
    </w:p>
    <w:p w14:paraId="273DB188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B. Substituciones: No permitidas.</w:t>
      </w:r>
    </w:p>
    <w:p w14:paraId="04D081B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C. Suministrar todos los elementos de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 de un solo fabricante.</w:t>
      </w:r>
    </w:p>
    <w:p w14:paraId="4E0D95CF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7A390CD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2.02 UNIDADES FABRICADAS</w:t>
      </w:r>
    </w:p>
    <w:p w14:paraId="79AEDB3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Lámina de impresión digital</w:t>
      </w:r>
    </w:p>
    <w:p w14:paraId="441BB21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1.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</w:t>
      </w:r>
    </w:p>
    <w:p w14:paraId="758C7E6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Dimensiones y Grosor</w:t>
      </w:r>
    </w:p>
    <w:p w14:paraId="29DA82B9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48”x 96” (1.22m x 2.44m) .040 (1mm), estándar</w:t>
      </w:r>
    </w:p>
    <w:p w14:paraId="3ED5C15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48” x 120” (1.22m x 3.04m) .040” (1mm), estándar</w:t>
      </w:r>
    </w:p>
    <w:p w14:paraId="2967AB35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Soporte - Impreso digitalmente en la dirección correcta con refuerzo protector.</w:t>
      </w:r>
    </w:p>
    <w:p w14:paraId="091FE05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26EEBD34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 Accesorios:</w:t>
      </w:r>
    </w:p>
    <w:p w14:paraId="2FDD4BEF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Libre de PVC</w:t>
      </w:r>
    </w:p>
    <w:p w14:paraId="57B6D3B5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 G2-407 Tapa superior; Largo: 8' (2.44m) estándar, 10' (3.04m) disponible</w:t>
      </w:r>
    </w:p>
    <w:p w14:paraId="1BE4B653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 Barra Divisora Vertical G2-408; Largo: 8' (2.44m) estándar, 10' (3.04m) disponible</w:t>
      </w:r>
    </w:p>
    <w:p w14:paraId="30335363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 Esquina Interior G2-409; Largo: 8' (2.44m) estándar, 10' (3.04m) disponible</w:t>
      </w:r>
    </w:p>
    <w:p w14:paraId="3C12D083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B. Vinilo</w:t>
      </w:r>
    </w:p>
    <w:p w14:paraId="38D5F95F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1. 407 Tapa Superior; Largo: 8' (2.44m) estándar, 10' (3.04m) disponible </w:t>
      </w:r>
    </w:p>
    <w:p w14:paraId="03CC8BCE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2. Barra Divisora Vertical 408; Largo: 8' (2.44m) estándar, 10' (3.04m) disponible </w:t>
      </w:r>
    </w:p>
    <w:p w14:paraId="591C0C97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 Esquina Interior 409; Largo: 8' (2.44m) estándar, 10' (3.04m) disponible</w:t>
      </w:r>
    </w:p>
    <w:p w14:paraId="241BE3E2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C. Acero inoxidable</w:t>
      </w:r>
    </w:p>
    <w:p w14:paraId="5D022593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 Tapa Superior de Acero Inoxidable 407SS; Largo: 8' (2.44m) estándar</w:t>
      </w:r>
    </w:p>
    <w:p w14:paraId="36685564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 Barra Divisora Vertical de Acero Inoxidable 408SS; Largo: 8' (2.44m) estándar</w:t>
      </w:r>
    </w:p>
    <w:p w14:paraId="5BA0A0C3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D. Aluminio</w:t>
      </w:r>
    </w:p>
    <w:p w14:paraId="3C4444F6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 Tapa Superior de Aluminio 407A; Largo: 8' (2.44m) estándar, 10' (3.04m) disponible.</w:t>
      </w:r>
    </w:p>
    <w:p w14:paraId="22166F54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 Barra Divisora Vertical de Aluminio 408A; Largo: 8' (2.44m) estándar, 10' (3.04m) disponible.</w:t>
      </w:r>
    </w:p>
    <w:p w14:paraId="51B9BAD0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 Esquina Interior de Aluminio 409A; Largo: 8' (2.44m) estándar, 10' (3.04m) disponible.</w:t>
      </w:r>
    </w:p>
    <w:p w14:paraId="5D409A79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4. Esquina Exterior de Aluminio 420A; Largo: 8' (2.44m) estándar, 10' (3.04m) disponible.</w:t>
      </w:r>
    </w:p>
    <w:p w14:paraId="1272F6CA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E. Esquinas Exteriores</w:t>
      </w:r>
    </w:p>
    <w:p w14:paraId="5F726D43" w14:textId="77777777" w:rsidR="005136FC" w:rsidRPr="00B45389" w:rsidRDefault="00B45389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>
        <w:rPr>
          <w:rFonts w:ascii="Myriad Pro" w:hAnsi="Myriad Pro"/>
          <w:sz w:val="20"/>
          <w:szCs w:val="20"/>
          <w:lang w:val="es-ES_tradnl"/>
        </w:rPr>
        <w:t>1. Libres de PVC</w:t>
      </w:r>
      <w:r w:rsidR="005136FC" w:rsidRPr="00B45389">
        <w:rPr>
          <w:rFonts w:ascii="Myriad Pro" w:hAnsi="Myriad Pro"/>
          <w:sz w:val="20"/>
          <w:szCs w:val="20"/>
          <w:lang w:val="es-ES_tradnl"/>
        </w:rPr>
        <w:t>: G2-3448, G2-3496, G2-11248 o G2-11296 -</w:t>
      </w:r>
      <w:r>
        <w:rPr>
          <w:rFonts w:ascii="Myriad Pro" w:hAnsi="Myriad Pro"/>
          <w:sz w:val="20"/>
          <w:szCs w:val="20"/>
          <w:lang w:val="es-ES_tradnl"/>
        </w:rPr>
        <w:t xml:space="preserve"> </w:t>
      </w:r>
      <w:r w:rsidR="005136FC" w:rsidRPr="00B45389">
        <w:rPr>
          <w:rFonts w:ascii="Myriad Pro" w:hAnsi="Myriad Pro"/>
          <w:sz w:val="20"/>
          <w:szCs w:val="20"/>
          <w:lang w:val="es-ES_tradnl"/>
        </w:rPr>
        <w:t>Esquinas Exteriores</w:t>
      </w:r>
    </w:p>
    <w:p w14:paraId="43D680E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 Vinilo: 3448, 3496, 11248 o 11296 - Esquinas Exteriores</w:t>
      </w:r>
    </w:p>
    <w:p w14:paraId="171CD8E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F. Sellador con Igualación de Color</w:t>
      </w:r>
    </w:p>
    <w:p w14:paraId="48BA7A86" w14:textId="77777777" w:rsidR="005136FC" w:rsidRPr="00B45389" w:rsidRDefault="00E77DE1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lastRenderedPageBreak/>
        <w:t xml:space="preserve">1. Sellador con Igualación de Color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Vinylseal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580</w:t>
      </w:r>
    </w:p>
    <w:p w14:paraId="34FB47A3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26F813B4" w14:textId="77777777" w:rsidR="00B45389" w:rsidRDefault="00B45389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1618B1EA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2.03 MATERIALES</w:t>
      </w:r>
    </w:p>
    <w:p w14:paraId="4C6E2976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El material de la lámina PETG deberá ser extruido de PETG resistente a químicos y manchas, con un acabado mate. La lámina rígida será impresa en la dirección correcta por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con las gráficas provistas por el cliente. La lámina impresa deberá tener un protector de refuerzo.</w:t>
      </w:r>
    </w:p>
    <w:p w14:paraId="39396A56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6AB1303E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2.04 ACCESORIOS</w:t>
      </w:r>
    </w:p>
    <w:p w14:paraId="2A94B3E9" w14:textId="5672E375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Tapas superiores sin PVC, barras divisoras verticales y esquinas interiores:  Los accesorios decorativos deberán ser extruidos de termoplástico libre de PVC</w:t>
      </w:r>
      <w:r w:rsidR="002B2490">
        <w:rPr>
          <w:rFonts w:ascii="Myriad Pro" w:hAnsi="Myriad Pro"/>
          <w:sz w:val="20"/>
          <w:szCs w:val="20"/>
          <w:lang w:val="es-ES_tradnl"/>
        </w:rPr>
        <w:t xml:space="preserve">, resistente a químicos y </w:t>
      </w:r>
      <w:r w:rsidRPr="00B45389">
        <w:rPr>
          <w:rFonts w:ascii="Myriad Pro" w:hAnsi="Myriad Pro"/>
          <w:sz w:val="20"/>
          <w:szCs w:val="20"/>
          <w:lang w:val="es-ES_tradnl"/>
        </w:rPr>
        <w:t>manchas.</w:t>
      </w:r>
    </w:p>
    <w:p w14:paraId="25C6AF03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B. Tapas superiores de vinilo, esquinas interiores, barras divisoras y esquinas exteriores deberán ser fabricadas de PVC extruido.</w:t>
      </w:r>
    </w:p>
    <w:p w14:paraId="5234D6D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C. Tapas superiores de acero inoxidable deberán ser fabricadas de acero inoxidable de la serie #400.</w:t>
      </w:r>
    </w:p>
    <w:p w14:paraId="5023AEC8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D. Las barras divisoras verticales deberán ser de acero inoxidable de la serie #400 sobre acero galvanizado.</w:t>
      </w:r>
    </w:p>
    <w:p w14:paraId="03F507FA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E. Las tapas superiores de aluminio, esquinas y barras divisoras deberán ser extruidas de aluminio 6063-T5.</w:t>
      </w:r>
    </w:p>
    <w:p w14:paraId="6A3FA2B6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F.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VinylSeal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: El sellador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VinylSeal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deberá estar compuesto de sellador de látex siliconado.</w:t>
      </w:r>
    </w:p>
    <w:p w14:paraId="2652165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36306CAA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2.05  ACABADOS</w:t>
      </w:r>
    </w:p>
    <w:p w14:paraId="7AC573CC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Gráficas digitales provistas por el cliente: Archivos digitales de alta definición serán impresos en la dirección correcta en una lámina transparente de PETG y sellada con un protector de refuerzo. El cliente deberá proveer las gráficas personalizadas con autorización del derecho de autor.  Gráficas en Adobe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Illustrator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(AI) o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Encapsulated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Postscript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(EPS) son preferibles, pero la mayoría de archivos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raster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(por ej. TIFF, JPEG) son aceptados. Los archivos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raster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deben ser enviados a escala completa, 300 dpi, en un formato no comprimido. </w:t>
      </w:r>
    </w:p>
    <w:p w14:paraId="03F8423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B. Los colores de las tapas superiores libres de PVC, barras divisoras verticales y esquinas interiores serán seleccionados por el arquitecto de la gama de acabados de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. La superficie deberá tener un acabado liso.</w:t>
      </w:r>
    </w:p>
    <w:p w14:paraId="6611CBA4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C. Las tapas superiores de vinilo, esquinas interiores, barras divisoras y esquinas exteriores deberán ser de un color que corresponda con las láminas IPC.</w:t>
      </w:r>
    </w:p>
    <w:p w14:paraId="53BE363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D. Accesorios de Acero Inoxidable: Las tapas superiores y barras divisoras deberán tener un acabado pulido.</w:t>
      </w:r>
    </w:p>
    <w:p w14:paraId="4333659A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E. Accesorios de Aluminio: Las tapas superiores, esquinas interiores y barras divisoras deberán tener un anodizado transparente.</w:t>
      </w:r>
    </w:p>
    <w:p w14:paraId="25CD9B9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F. Accesorios: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VinylSeal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deberá de ser de un color que coordine con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™ </w:t>
      </w:r>
    </w:p>
    <w:p w14:paraId="5BD5BC4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31A3D465" w14:textId="77777777" w:rsidR="005136FC" w:rsidRPr="00B45389" w:rsidRDefault="005136FC" w:rsidP="005136FC">
      <w:pPr>
        <w:ind w:left="1530" w:right="1440"/>
        <w:rPr>
          <w:rFonts w:ascii="Myriad Pro" w:hAnsi="Myriad Pro"/>
          <w:b/>
          <w:sz w:val="20"/>
          <w:szCs w:val="20"/>
          <w:lang w:val="es-ES_tradnl"/>
        </w:rPr>
      </w:pPr>
      <w:r w:rsidRPr="00B45389">
        <w:rPr>
          <w:rFonts w:ascii="Myriad Pro" w:hAnsi="Myriad Pro"/>
          <w:b/>
          <w:sz w:val="20"/>
          <w:szCs w:val="20"/>
          <w:lang w:val="es-ES_tradnl"/>
        </w:rPr>
        <w:t>PARTE 3 - EJECUCIÓN</w:t>
      </w:r>
    </w:p>
    <w:p w14:paraId="7517E4CE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30B1A2EE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3.01 RECONOCIMIENTO</w:t>
      </w:r>
    </w:p>
    <w:p w14:paraId="29C4541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Reconocimiento de las áreas y condiciones en las que se instalará la lámina.</w:t>
      </w:r>
    </w:p>
    <w:p w14:paraId="6BDB933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1. Completar todas las operaciones de acabado, incluyendo pintado, antes de iniciar la instalación de los materiales relacionados a las láminas libres de PVC.</w:t>
      </w:r>
    </w:p>
    <w:p w14:paraId="61AC2F33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B. La superficie de la pared debe estar seca y libre de suciedad, grasa y pintura suelta.</w:t>
      </w:r>
    </w:p>
    <w:p w14:paraId="259B9F9B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5E46BC3F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3.02 PREPARACIÓN</w:t>
      </w:r>
    </w:p>
    <w:p w14:paraId="5AB0ACE7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A. General: Antes de la instalación, limpiar el sustrato para remover polvo, residuos y partículas sueltas.</w:t>
      </w:r>
    </w:p>
    <w:p w14:paraId="46E608F6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01F2A68E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3.03  INSTALACIÓN</w:t>
      </w:r>
    </w:p>
    <w:p w14:paraId="54EC394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lastRenderedPageBreak/>
        <w:t xml:space="preserve">A. General: Colocar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™ como se indica en el dibujo detallado aprobado para el sustrato y siguiendo las instrucciones de instalación de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. Instalar el producto a nivel y plomo a la altura indicada en los dibujos. Recortar en el sitio de la obra no es recomendado ni indicado.</w:t>
      </w:r>
    </w:p>
    <w:p w14:paraId="055D37C7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B. Instalación de la Protección de Paredes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Aspex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™</w:t>
      </w:r>
    </w:p>
    <w:p w14:paraId="64318A82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1. Adherir al sustrato con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Bond, un adhesivo estable en condiciones de congelación/descongelación, no inflamable, de alta resistencia y a base de agua que puede ser aplicado con una llana y permite suficiente tiempo de trabajo antes de ponerse firme.</w:t>
      </w:r>
    </w:p>
    <w:p w14:paraId="5B9B866D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2. Adherir al sustrato con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Fastbond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 xml:space="preserve"> 30, un adhesivo de contacto que se dispersa en agua, no inflamable, de alta resistencia y con muy poco olor. Pasar un rodillo sobre la superficie para que quede lisa.</w:t>
      </w:r>
    </w:p>
    <w:p w14:paraId="7880DE55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</w:p>
    <w:p w14:paraId="02DE61D0" w14:textId="77777777" w:rsidR="005136FC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>3.04 LIMPIEZA</w:t>
      </w:r>
    </w:p>
    <w:p w14:paraId="285B10A7" w14:textId="77777777" w:rsidR="00A046C3" w:rsidRPr="00B45389" w:rsidRDefault="005136FC" w:rsidP="005136FC">
      <w:pPr>
        <w:ind w:left="1530" w:right="1440"/>
        <w:rPr>
          <w:rFonts w:ascii="Myriad Pro" w:hAnsi="Myriad Pro"/>
          <w:sz w:val="20"/>
          <w:szCs w:val="20"/>
          <w:lang w:val="es-ES_tradnl"/>
        </w:rPr>
      </w:pPr>
      <w:r w:rsidRPr="00B45389">
        <w:rPr>
          <w:rFonts w:ascii="Myriad Pro" w:hAnsi="Myriad Pro"/>
          <w:sz w:val="20"/>
          <w:szCs w:val="20"/>
          <w:lang w:val="es-ES_tradnl"/>
        </w:rPr>
        <w:t xml:space="preserve">A. Al completar la instalación, limpiar las superficies de acuerdo a las instrucciones de limpieza y mantenimiento de </w:t>
      </w:r>
      <w:proofErr w:type="spellStart"/>
      <w:r w:rsidRPr="00B45389">
        <w:rPr>
          <w:rFonts w:ascii="Myriad Pro" w:hAnsi="Myriad Pro"/>
          <w:sz w:val="20"/>
          <w:szCs w:val="20"/>
          <w:lang w:val="es-ES_tradnl"/>
        </w:rPr>
        <w:t>InPro</w:t>
      </w:r>
      <w:proofErr w:type="spellEnd"/>
      <w:r w:rsidRPr="00B45389">
        <w:rPr>
          <w:rFonts w:ascii="Myriad Pro" w:hAnsi="Myriad Pro"/>
          <w:sz w:val="20"/>
          <w:szCs w:val="20"/>
          <w:lang w:val="es-ES_tradnl"/>
        </w:rPr>
        <w:t>.</w:t>
      </w:r>
    </w:p>
    <w:sectPr w:rsidR="00A046C3" w:rsidRPr="00B45389" w:rsidSect="00427042">
      <w:headerReference w:type="default" r:id="rId6"/>
      <w:footerReference w:type="default" r:id="rId7"/>
      <w:pgSz w:w="12240" w:h="15840"/>
      <w:pgMar w:top="2165" w:right="0" w:bottom="806" w:left="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96AE" w14:textId="77777777" w:rsidR="00C24D67" w:rsidRDefault="00C24D67" w:rsidP="0003658C">
      <w:r>
        <w:separator/>
      </w:r>
    </w:p>
  </w:endnote>
  <w:endnote w:type="continuationSeparator" w:id="0">
    <w:p w14:paraId="18F6E8AD" w14:textId="77777777" w:rsidR="00C24D67" w:rsidRDefault="00C24D67" w:rsidP="000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C9A5" w14:textId="0B21EBD3" w:rsidR="00ED47C9" w:rsidRPr="005E452A" w:rsidRDefault="00EA2305" w:rsidP="005E452A">
    <w:pPr>
      <w:pStyle w:val="Footer"/>
      <w:ind w:right="720" w:firstLine="180"/>
      <w:jc w:val="right"/>
      <w:rPr>
        <w:rFonts w:ascii="Myriad Pro" w:hAnsi="Myriad Pro"/>
        <w:sz w:val="20"/>
        <w:szCs w:val="20"/>
      </w:rPr>
    </w:pPr>
    <w:r w:rsidRPr="00EA2305">
      <w:rPr>
        <w:rFonts w:ascii="Myriad Pro" w:hAnsi="Myriad Pro"/>
        <w:sz w:val="20"/>
        <w:szCs w:val="20"/>
      </w:rPr>
      <w:t>IPC. 20</w:t>
    </w:r>
    <w:r w:rsidR="0006519D">
      <w:rPr>
        <w:rFonts w:ascii="Myriad Pro" w:hAnsi="Myriad Pro"/>
        <w:sz w:val="20"/>
        <w:szCs w:val="20"/>
      </w:rPr>
      <w:t>41</w:t>
    </w:r>
    <w:r w:rsidRPr="00EA2305">
      <w:rPr>
        <w:rFonts w:ascii="Myriad Pro" w:hAnsi="Myriad Pro"/>
        <w:sz w:val="20"/>
        <w:szCs w:val="20"/>
      </w:rPr>
      <w:t>/REV.1 W</w:t>
    </w:r>
  </w:p>
  <w:p w14:paraId="12CDAC6A" w14:textId="77777777" w:rsidR="00ED47C9" w:rsidRDefault="00EE1E4B" w:rsidP="0003658C">
    <w:pPr>
      <w:pStyle w:val="Footer"/>
      <w:ind w:firstLine="180"/>
    </w:pPr>
    <w:r>
      <w:rPr>
        <w:noProof/>
        <w:lang w:eastAsia="en-US"/>
      </w:rPr>
      <w:drawing>
        <wp:inline distT="0" distB="0" distL="0" distR="0" wp14:anchorId="3B8F3CDC" wp14:editId="011E972C">
          <wp:extent cx="737108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0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C2084" w14:textId="77777777" w:rsidR="0003658C" w:rsidRPr="00ED47C9" w:rsidRDefault="0003658C" w:rsidP="00ED47C9">
    <w:pPr>
      <w:pStyle w:val="Footer"/>
      <w:ind w:right="720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90F7" w14:textId="77777777" w:rsidR="00C24D67" w:rsidRDefault="00C24D67" w:rsidP="0003658C">
      <w:r>
        <w:separator/>
      </w:r>
    </w:p>
  </w:footnote>
  <w:footnote w:type="continuationSeparator" w:id="0">
    <w:p w14:paraId="703D7145" w14:textId="77777777" w:rsidR="00C24D67" w:rsidRDefault="00C24D67" w:rsidP="0003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51D8" w14:textId="77777777" w:rsidR="00C64333" w:rsidRPr="00B45389" w:rsidRDefault="00C64333" w:rsidP="00427042">
    <w:pPr>
      <w:pStyle w:val="Header"/>
      <w:jc w:val="center"/>
      <w:rPr>
        <w:rFonts w:ascii="Myriad Pro" w:hAnsi="Myriad Pro"/>
        <w:b/>
        <w:sz w:val="28"/>
        <w:szCs w:val="28"/>
        <w:lang w:val="es-ES_tradnl"/>
      </w:rPr>
    </w:pPr>
    <w:r w:rsidRPr="00B45389">
      <w:rPr>
        <w:rFonts w:ascii="Myriad Pro" w:hAnsi="Myriad Pro"/>
        <w:b/>
        <w:sz w:val="28"/>
        <w:szCs w:val="28"/>
        <w:lang w:val="es-ES_tradnl"/>
      </w:rPr>
      <w:t>DIVISIÓN 10 26 00</w:t>
    </w:r>
  </w:p>
  <w:p w14:paraId="4D7797D2" w14:textId="77777777" w:rsidR="00427042" w:rsidRPr="00B45389" w:rsidRDefault="005136FC" w:rsidP="00427042">
    <w:pPr>
      <w:pStyle w:val="Header"/>
      <w:jc w:val="center"/>
      <w:rPr>
        <w:rFonts w:ascii="Myriad Pro" w:hAnsi="Myriad Pro"/>
        <w:b/>
        <w:sz w:val="28"/>
        <w:szCs w:val="28"/>
        <w:lang w:val="es-ES_tradnl"/>
      </w:rPr>
    </w:pPr>
    <w:r w:rsidRPr="00B45389">
      <w:rPr>
        <w:rFonts w:ascii="Myriad Pro" w:hAnsi="Myriad Pro"/>
        <w:b/>
        <w:sz w:val="28"/>
        <w:szCs w:val="28"/>
        <w:lang w:val="es-ES_tradnl"/>
      </w:rPr>
      <w:t xml:space="preserve">Protección de Paredes </w:t>
    </w:r>
    <w:proofErr w:type="spellStart"/>
    <w:r w:rsidRPr="00B45389">
      <w:rPr>
        <w:rFonts w:ascii="Myriad Pro" w:hAnsi="Myriad Pro"/>
        <w:b/>
        <w:sz w:val="28"/>
        <w:szCs w:val="28"/>
        <w:lang w:val="es-ES_tradnl"/>
      </w:rPr>
      <w:t>Aspex</w:t>
    </w:r>
    <w:r w:rsidRPr="00B45389">
      <w:rPr>
        <w:rFonts w:ascii="Myriad Pro" w:hAnsi="Myriad Pro"/>
        <w:b/>
        <w:sz w:val="28"/>
        <w:szCs w:val="28"/>
        <w:vertAlign w:val="superscript"/>
        <w:lang w:val="es-ES_tradnl"/>
      </w:rPr>
      <w:t>TM</w:t>
    </w:r>
    <w:proofErr w:type="spellEnd"/>
    <w:r w:rsidRPr="00B45389">
      <w:rPr>
        <w:rFonts w:ascii="Myriad Pro" w:hAnsi="Myriad Pro"/>
        <w:b/>
        <w:sz w:val="28"/>
        <w:szCs w:val="28"/>
        <w:lang w:val="es-ES_tradnl"/>
      </w:rPr>
      <w:t xml:space="preserve"> </w:t>
    </w:r>
  </w:p>
  <w:p w14:paraId="000830A7" w14:textId="77777777" w:rsidR="00C64333" w:rsidRDefault="00C64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C"/>
    <w:rsid w:val="0003658C"/>
    <w:rsid w:val="0006519D"/>
    <w:rsid w:val="0018452A"/>
    <w:rsid w:val="00196D62"/>
    <w:rsid w:val="002B2490"/>
    <w:rsid w:val="003616B0"/>
    <w:rsid w:val="003C5D89"/>
    <w:rsid w:val="00427042"/>
    <w:rsid w:val="0046267D"/>
    <w:rsid w:val="004F0E18"/>
    <w:rsid w:val="00504399"/>
    <w:rsid w:val="005136FC"/>
    <w:rsid w:val="0057249D"/>
    <w:rsid w:val="005751F2"/>
    <w:rsid w:val="005E452A"/>
    <w:rsid w:val="0063452F"/>
    <w:rsid w:val="00644145"/>
    <w:rsid w:val="006C677B"/>
    <w:rsid w:val="00873A69"/>
    <w:rsid w:val="00892BC3"/>
    <w:rsid w:val="00985CB4"/>
    <w:rsid w:val="009D7A5B"/>
    <w:rsid w:val="00A046C3"/>
    <w:rsid w:val="00A051BA"/>
    <w:rsid w:val="00B45389"/>
    <w:rsid w:val="00B70958"/>
    <w:rsid w:val="00BC6C88"/>
    <w:rsid w:val="00C24D67"/>
    <w:rsid w:val="00C64333"/>
    <w:rsid w:val="00C83E69"/>
    <w:rsid w:val="00C8770A"/>
    <w:rsid w:val="00CB39C6"/>
    <w:rsid w:val="00D56ECF"/>
    <w:rsid w:val="00DA4E81"/>
    <w:rsid w:val="00E77DE1"/>
    <w:rsid w:val="00EA2305"/>
    <w:rsid w:val="00ED47C9"/>
    <w:rsid w:val="00EE1E4B"/>
    <w:rsid w:val="00F74064"/>
    <w:rsid w:val="00FC70FF"/>
    <w:rsid w:val="00FE2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C9FFB9A"/>
  <w15:docId w15:val="{CBD38E75-7983-4194-852D-3EDC0C1A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B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5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65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5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65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5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hrkam\AppData\Roaming\Microsoft\Templates\IPC%20Sp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Spec Template</Template>
  <TotalTime>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InPro Corporation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Lehrkamp</dc:creator>
  <cp:lastModifiedBy>Zach Sheperd</cp:lastModifiedBy>
  <cp:revision>3</cp:revision>
  <cp:lastPrinted>2016-03-31T14:08:00Z</cp:lastPrinted>
  <dcterms:created xsi:type="dcterms:W3CDTF">2017-09-19T18:54:00Z</dcterms:created>
  <dcterms:modified xsi:type="dcterms:W3CDTF">2017-09-19T18:54:00Z</dcterms:modified>
</cp:coreProperties>
</file>